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282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Евсеевой Людмилы Геннадьевны, </w:t>
      </w:r>
      <w:r>
        <w:rPr>
          <w:rStyle w:val="cat-ExternalSystemDefinedgrp-4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отдела кадрового, документационного и правового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АУ «Нефтеюганский политехнический колледж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Евсеева Л.Г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отдела кадрового, документационного и правового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АУ «Нефтеюганский политехнический колледж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 Б мкр., зд. 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пп.5 п. 2, п.6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одного застрахованного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соответствии с вышеназванной нормой данная отчетность должна быть представлена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04.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Евсеева Л.Г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извещенная надлежащим образом о времени и месте рассмотрения административного материала, не явилась, просила рассмотреть дело в ее отсутствие,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правонарушением согласна, </w:t>
      </w:r>
      <w:r>
        <w:rPr>
          <w:rFonts w:ascii="Times New Roman" w:eastAsia="Times New Roman" w:hAnsi="Times New Roman" w:cs="Times New Roman"/>
          <w:sz w:val="26"/>
          <w:szCs w:val="26"/>
        </w:rPr>
        <w:t>что следует из 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Евсеевой Л.Г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Евсеевой Л.Г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07.03.2025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Евсеева Л.Г</w:t>
      </w:r>
      <w:r>
        <w:rPr>
          <w:rFonts w:ascii="Times New Roman" w:eastAsia="Times New Roman" w:hAnsi="Times New Roman" w:cs="Times New Roman"/>
          <w:sz w:val="26"/>
          <w:szCs w:val="26"/>
        </w:rPr>
        <w:t>.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законодательством Российской Федерации срока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АУ «Нефтеюганский политехнический колледж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приказа о приеме работника на работу от 02.07.2024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должностной инструкцией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кадрового, документационного и правового обеспечения АУ «Нефтеюганский политехнический колледж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отчета по форме по форме ЕФС-1; обращением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извещением о доставке,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телефонограмм, факсограмм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>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пп. 3 п. 2 ст. 11 Федерального закона от 01.04.1996 № 27-ФЗ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сведения и документы, в том числе: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3 ст. 11 Федерального закона от 01.04.1996 № 27-ФЗ 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Евсеевой Л.Г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установлена и доказана, ее действие подлежит квалификации по ч. 1 ст. 15.33.2 КоАП РФ,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Евсеева Л.Г</w:t>
      </w:r>
      <w:r>
        <w:rPr>
          <w:rFonts w:ascii="Times New Roman" w:eastAsia="Times New Roman" w:hAnsi="Times New Roman" w:cs="Times New Roman"/>
          <w:sz w:val="26"/>
          <w:szCs w:val="26"/>
        </w:rPr>
        <w:t>.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сведений.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этим, несмотря на то,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кадрового, документационного и правового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Евсеевой Л.Г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мировой судья учитывает 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Евсеевой Л.Г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административного правонарушения.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Из отчета по форме ЕФС-1 следует, что сведения в отношении одного застрахованного лица 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ОСФР по ХМАО-Югре поступили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, при этом срок предоставления сведений 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1(ГПД)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истек </w:t>
      </w:r>
      <w:r>
        <w:rPr>
          <w:rFonts w:ascii="Times New Roman" w:eastAsia="Times New Roman" w:hAnsi="Times New Roman" w:cs="Times New Roman"/>
          <w:sz w:val="26"/>
          <w:szCs w:val="26"/>
        </w:rPr>
        <w:t>04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24:00 час.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6"/>
          <w:szCs w:val="26"/>
        </w:rPr>
        <w:t>АУ «Нефтеюганский политехнический колледж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 лице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кадрового, документационного и правового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Евсеевой Л.Г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нарушен срок представления сведений, необходимых для осуществления индивидуального (персонифицированного) учета, который составил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sz w:val="26"/>
          <w:szCs w:val="26"/>
        </w:rPr>
        <w:t>. При этом, незначительная просрочка представления сведений не создала существенной угрозы охраняемым общественным отношениям.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Формально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Евсеев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однако деяние не повлекло неблагоприятных последствий, не лишило органы Пенсионного фонда Российской Федерации возможности осуществления индивидуального (персонифицированного) учета </w:t>
      </w:r>
      <w:r>
        <w:rPr>
          <w:rFonts w:ascii="Times New Roman" w:eastAsia="Times New Roman" w:hAnsi="Times New Roman" w:cs="Times New Roman"/>
          <w:sz w:val="26"/>
          <w:szCs w:val="26"/>
        </w:rPr>
        <w:t>АУ «Нефтеюганский политехнический колледж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». Таким образом, несвоевременное представление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Евсеевой Л.Г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сведений по форме ЕФС-1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считает, что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отдела кадрового, документационного и правового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Евсеевой Л.Г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административное правонарушение в силу ст. 2.9 КоАП РФ является малозначительным, в связи с чем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кадрового, документационного и правового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Евсеев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Л.Г</w:t>
      </w:r>
      <w:r>
        <w:rPr>
          <w:rFonts w:ascii="Times New Roman" w:eastAsia="Times New Roman" w:hAnsi="Times New Roman" w:cs="Times New Roman"/>
          <w:sz w:val="26"/>
          <w:szCs w:val="26"/>
        </w:rPr>
        <w:t>. следует освободить от административной ответственности и ограничиться устным замечанием.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 ст. 2.9, 29.9 ч.1,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ч. 1 ст. 15.33.2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кадрового, документационного и правового обеспечения АУ «Нефтеюганский политехнический колледж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Евсеевой Людмилы Геннадьевны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прекратить.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Объявить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начальнику отдела кадрового, документационного и правового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АУ «Нефтеюганский политехнический колледж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Евсеевой Людмиле Геннадьевне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устное замечание.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8">
    <w:name w:val="cat-ExternalSystemDefined grp-40 rplc-8"/>
    <w:basedOn w:val="DefaultParagraphFont"/>
  </w:style>
  <w:style w:type="character" w:customStyle="1" w:styleId="cat-PassportDatagrp-33rplc-9">
    <w:name w:val="cat-PassportData grp-33 rplc-9"/>
    <w:basedOn w:val="DefaultParagraphFont"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PassportDatagrp-34rplc-12">
    <w:name w:val="cat-PassportData grp-34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ExternalSystemDefinedgrp-41rplc-14">
    <w:name w:val="cat-ExternalSystemDefined grp-41 rplc-14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51">
    <w:name w:val="cat-UserDefined grp-45 rplc-51"/>
    <w:basedOn w:val="DefaultParagraphFont"/>
  </w:style>
  <w:style w:type="character" w:customStyle="1" w:styleId="cat-UserDefinedgrp-46rplc-54">
    <w:name w:val="cat-UserDefined grp-4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